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5"/>
        </w:tabs>
        <w:jc w:val="center"/>
        <w:outlineLvl w:val="1"/>
        <w:rPr>
          <w:rFonts w:ascii="Times New Roman" w:hAnsi="Times New Roman" w:eastAsia="黑体"/>
          <w:bCs/>
          <w:sz w:val="36"/>
          <w:szCs w:val="36"/>
        </w:rPr>
      </w:pPr>
      <w:bookmarkStart w:id="2" w:name="_GoBack"/>
      <w:bookmarkEnd w:id="2"/>
      <w:bookmarkStart w:id="0" w:name="_Toc121734445"/>
      <w:bookmarkStart w:id="1" w:name="_Hlk122288612"/>
      <w:r>
        <w:rPr>
          <w:rFonts w:ascii="Times New Roman" w:hAnsi="Times New Roman"/>
          <w:bCs/>
          <w:sz w:val="32"/>
          <w:szCs w:val="32"/>
        </w:rPr>
        <w:t>（六）</w:t>
      </w:r>
      <w:r>
        <w:rPr>
          <w:rFonts w:ascii="Times New Roman" w:hAnsi="Times New Roman"/>
          <w:bCs/>
          <w:sz w:val="32"/>
          <w:szCs w:val="24"/>
        </w:rPr>
        <w:t>高新技术</w:t>
      </w:r>
      <w:r>
        <w:rPr>
          <w:rFonts w:ascii="Times New Roman" w:hAnsi="Times New Roman"/>
          <w:bCs/>
          <w:sz w:val="32"/>
          <w:szCs w:val="32"/>
        </w:rPr>
        <w:t>企业综合统计快报表</w:t>
      </w:r>
      <w:bookmarkEnd w:id="0"/>
    </w:p>
    <w:tbl>
      <w:tblPr>
        <w:tblStyle w:val="3"/>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2065"/>
        <w:gridCol w:w="1145"/>
        <w:gridCol w:w="1064"/>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vAlign w:val="center"/>
          </w:tcPr>
          <w:p>
            <w:pPr>
              <w:spacing w:line="280" w:lineRule="exact"/>
              <w:jc w:val="center"/>
              <w:rPr>
                <w:rFonts w:ascii="Times New Roman" w:hAnsi="Times New Roman"/>
                <w:bCs/>
                <w:sz w:val="18"/>
                <w:szCs w:val="18"/>
              </w:rPr>
            </w:pPr>
          </w:p>
        </w:tc>
        <w:tc>
          <w:tcPr>
            <w:tcW w:w="1064" w:type="dxa"/>
            <w:tcBorders>
              <w:top w:val="nil"/>
              <w:left w:val="nil"/>
              <w:bottom w:val="nil"/>
              <w:right w:val="nil"/>
            </w:tcBorders>
            <w:vAlign w:val="center"/>
          </w:tcPr>
          <w:p>
            <w:pPr>
              <w:snapToGrid w:val="0"/>
              <w:spacing w:line="240" w:lineRule="exact"/>
              <w:rPr>
                <w:rFonts w:ascii="Times New Roman" w:hAnsi="Times New Roman"/>
                <w:bCs/>
                <w:sz w:val="18"/>
                <w:szCs w:val="18"/>
              </w:rPr>
            </w:pPr>
            <w:r>
              <w:rPr>
                <w:rFonts w:ascii="Times New Roman" w:hAnsi="Times New Roman"/>
                <w:bCs/>
                <w:sz w:val="18"/>
                <w:szCs w:val="18"/>
              </w:rPr>
              <w:t>表号：</w:t>
            </w:r>
          </w:p>
        </w:tc>
        <w:tc>
          <w:tcPr>
            <w:tcW w:w="1937" w:type="dxa"/>
            <w:tcBorders>
              <w:top w:val="nil"/>
              <w:left w:val="nil"/>
              <w:bottom w:val="nil"/>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szCs w:val="18"/>
              </w:rPr>
              <w:t>ＧＱＫＢ－０１</w:t>
            </w:r>
            <w:r>
              <w:rPr>
                <w:rFonts w:ascii="Times New Roman" w:hAnsi="Times New Roman"/>
                <w:bCs/>
                <w:sz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vAlign w:val="center"/>
          </w:tcPr>
          <w:p>
            <w:pPr>
              <w:jc w:val="center"/>
              <w:rPr>
                <w:rFonts w:ascii="Times New Roman" w:hAnsi="Times New Roman"/>
                <w:bCs/>
                <w:sz w:val="18"/>
                <w:szCs w:val="18"/>
              </w:rPr>
            </w:pPr>
          </w:p>
        </w:tc>
        <w:tc>
          <w:tcPr>
            <w:tcW w:w="1064" w:type="dxa"/>
            <w:tcBorders>
              <w:top w:val="nil"/>
              <w:left w:val="nil"/>
              <w:bottom w:val="nil"/>
              <w:right w:val="nil"/>
            </w:tcBorders>
            <w:vAlign w:val="center"/>
          </w:tcPr>
          <w:p>
            <w:pPr>
              <w:snapToGrid w:val="0"/>
              <w:spacing w:line="240" w:lineRule="exact"/>
              <w:rPr>
                <w:rFonts w:ascii="Times New Roman" w:hAnsi="Times New Roman"/>
                <w:bCs/>
                <w:sz w:val="18"/>
                <w:szCs w:val="18"/>
              </w:rPr>
            </w:pPr>
            <w:r>
              <w:rPr>
                <w:rFonts w:ascii="Times New Roman" w:hAnsi="Times New Roman"/>
                <w:bCs/>
                <w:sz w:val="18"/>
                <w:szCs w:val="18"/>
              </w:rPr>
              <w:t>制定机关：</w:t>
            </w:r>
          </w:p>
        </w:tc>
        <w:tc>
          <w:tcPr>
            <w:tcW w:w="1937" w:type="dxa"/>
            <w:tcBorders>
              <w:top w:val="nil"/>
              <w:left w:val="nil"/>
              <w:bottom w:val="nil"/>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rPr>
              <w:t>科学技术部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vAlign w:val="center"/>
          </w:tcPr>
          <w:p>
            <w:pPr>
              <w:spacing w:line="280" w:lineRule="exact"/>
              <w:jc w:val="center"/>
              <w:rPr>
                <w:rFonts w:ascii="Times New Roman" w:hAnsi="Times New Roman"/>
                <w:bCs/>
                <w:sz w:val="18"/>
                <w:szCs w:val="18"/>
              </w:rPr>
            </w:pPr>
          </w:p>
        </w:tc>
        <w:tc>
          <w:tcPr>
            <w:tcW w:w="1064" w:type="dxa"/>
            <w:tcBorders>
              <w:top w:val="nil"/>
              <w:left w:val="nil"/>
              <w:bottom w:val="nil"/>
              <w:right w:val="nil"/>
            </w:tcBorders>
            <w:vAlign w:val="center"/>
          </w:tcPr>
          <w:p>
            <w:pPr>
              <w:snapToGrid w:val="0"/>
              <w:spacing w:line="240" w:lineRule="exact"/>
              <w:rPr>
                <w:rFonts w:ascii="Times New Roman" w:hAnsi="Times New Roman"/>
                <w:bCs/>
                <w:sz w:val="18"/>
                <w:szCs w:val="18"/>
              </w:rPr>
            </w:pPr>
            <w:r>
              <w:rPr>
                <w:rFonts w:ascii="Times New Roman" w:hAnsi="Times New Roman"/>
                <w:bCs/>
                <w:sz w:val="18"/>
                <w:szCs w:val="18"/>
              </w:rPr>
              <w:t>批准机关：</w:t>
            </w:r>
          </w:p>
        </w:tc>
        <w:tc>
          <w:tcPr>
            <w:tcW w:w="1937" w:type="dxa"/>
            <w:tcBorders>
              <w:top w:val="nil"/>
              <w:left w:val="nil"/>
              <w:bottom w:val="nil"/>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rPr>
              <w:t>国家统计局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vAlign w:val="center"/>
          </w:tcPr>
          <w:p>
            <w:pPr>
              <w:spacing w:line="280" w:lineRule="exact"/>
              <w:jc w:val="center"/>
              <w:rPr>
                <w:rFonts w:ascii="Times New Roman" w:hAnsi="Times New Roman"/>
                <w:bCs/>
                <w:sz w:val="18"/>
                <w:szCs w:val="18"/>
              </w:rPr>
            </w:pPr>
          </w:p>
        </w:tc>
        <w:tc>
          <w:tcPr>
            <w:tcW w:w="1064" w:type="dxa"/>
            <w:tcBorders>
              <w:top w:val="nil"/>
              <w:left w:val="nil"/>
              <w:bottom w:val="nil"/>
              <w:right w:val="nil"/>
            </w:tcBorders>
            <w:vAlign w:val="center"/>
          </w:tcPr>
          <w:p>
            <w:pPr>
              <w:pStyle w:val="6"/>
              <w:tabs>
                <w:tab w:val="left" w:pos="730"/>
              </w:tabs>
              <w:autoSpaceDE/>
              <w:autoSpaceDN/>
              <w:adjustRightInd/>
              <w:spacing w:before="14" w:line="240" w:lineRule="exact"/>
              <w:jc w:val="both"/>
              <w:rPr>
                <w:rFonts w:ascii="Times New Roman" w:hAnsi="Times New Roman"/>
                <w:bCs/>
                <w:sz w:val="18"/>
                <w:szCs w:val="18"/>
              </w:rPr>
            </w:pPr>
            <w:r>
              <w:rPr>
                <w:rFonts w:ascii="Times New Roman" w:hAnsi="Times New Roman"/>
                <w:bCs/>
                <w:sz w:val="18"/>
                <w:szCs w:val="18"/>
              </w:rPr>
              <w:t>批准文号：</w:t>
            </w:r>
          </w:p>
        </w:tc>
        <w:tc>
          <w:tcPr>
            <w:tcW w:w="1937" w:type="dxa"/>
            <w:tcBorders>
              <w:top w:val="nil"/>
              <w:left w:val="nil"/>
              <w:bottom w:val="nil"/>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rPr>
              <w:t>国统制〔2022〕11号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182" w:type="dxa"/>
            <w:tcBorders>
              <w:top w:val="nil"/>
              <w:left w:val="nil"/>
              <w:bottom w:val="single" w:color="auto" w:sz="4" w:space="0"/>
              <w:right w:val="nil"/>
            </w:tcBorders>
            <w:vAlign w:val="center"/>
          </w:tcPr>
          <w:p>
            <w:pPr>
              <w:jc w:val="left"/>
              <w:rPr>
                <w:rFonts w:ascii="Times New Roman" w:hAnsi="Times New Roman"/>
                <w:bCs/>
                <w:sz w:val="18"/>
                <w:szCs w:val="18"/>
              </w:rPr>
            </w:pPr>
            <w:r>
              <w:rPr>
                <w:rFonts w:ascii="Times New Roman" w:hAnsi="Times New Roman"/>
                <w:bCs/>
                <w:sz w:val="18"/>
                <w:szCs w:val="20"/>
              </w:rPr>
              <w:t>综合机关名称：</w:t>
            </w:r>
          </w:p>
        </w:tc>
        <w:tc>
          <w:tcPr>
            <w:tcW w:w="3210" w:type="dxa"/>
            <w:gridSpan w:val="2"/>
            <w:tcBorders>
              <w:top w:val="nil"/>
              <w:left w:val="nil"/>
              <w:bottom w:val="single" w:color="auto" w:sz="4" w:space="0"/>
              <w:right w:val="nil"/>
            </w:tcBorders>
            <w:vAlign w:val="center"/>
          </w:tcPr>
          <w:p>
            <w:pPr>
              <w:spacing w:line="280" w:lineRule="exact"/>
              <w:jc w:val="center"/>
              <w:rPr>
                <w:rFonts w:ascii="Times New Roman" w:hAnsi="Times New Roman"/>
                <w:bCs/>
                <w:sz w:val="18"/>
                <w:szCs w:val="18"/>
              </w:rPr>
            </w:pPr>
            <w:r>
              <w:rPr>
                <w:rFonts w:ascii="Times New Roman" w:hAnsi="Times New Roman"/>
                <w:bCs/>
                <w:sz w:val="18"/>
                <w:szCs w:val="20"/>
              </w:rPr>
              <w:t>２０</w:t>
            </w:r>
            <w:r>
              <w:rPr>
                <w:rFonts w:hint="eastAsia" w:ascii="Times New Roman" w:hAnsi="Times New Roman"/>
                <w:bCs/>
                <w:sz w:val="18"/>
                <w:szCs w:val="20"/>
                <w:u w:val="single"/>
              </w:rPr>
              <w:t xml:space="preserve"> </w:t>
            </w:r>
            <w:r>
              <w:rPr>
                <w:rFonts w:ascii="Times New Roman" w:hAnsi="Times New Roman"/>
                <w:bCs/>
                <w:sz w:val="18"/>
                <w:szCs w:val="20"/>
                <w:u w:val="single"/>
              </w:rPr>
              <w:t xml:space="preserve">   </w:t>
            </w:r>
            <w:r>
              <w:rPr>
                <w:rFonts w:ascii="Times New Roman" w:hAnsi="Times New Roman"/>
                <w:bCs/>
                <w:sz w:val="18"/>
                <w:szCs w:val="20"/>
              </w:rPr>
              <w:t>年</w:t>
            </w:r>
          </w:p>
        </w:tc>
        <w:tc>
          <w:tcPr>
            <w:tcW w:w="1064" w:type="dxa"/>
            <w:tcBorders>
              <w:top w:val="nil"/>
              <w:left w:val="nil"/>
              <w:bottom w:val="single" w:color="auto" w:sz="4" w:space="0"/>
              <w:right w:val="nil"/>
            </w:tcBorders>
            <w:vAlign w:val="center"/>
          </w:tcPr>
          <w:p>
            <w:pPr>
              <w:snapToGrid w:val="0"/>
              <w:spacing w:line="240" w:lineRule="exact"/>
              <w:rPr>
                <w:rFonts w:ascii="Times New Roman" w:hAnsi="Times New Roman"/>
                <w:bCs/>
                <w:sz w:val="18"/>
                <w:szCs w:val="18"/>
              </w:rPr>
            </w:pPr>
            <w:r>
              <w:rPr>
                <w:rFonts w:ascii="Times New Roman" w:hAnsi="Times New Roman"/>
                <w:bCs/>
                <w:sz w:val="18"/>
                <w:szCs w:val="18"/>
              </w:rPr>
              <w:t>有效期至：</w:t>
            </w:r>
          </w:p>
        </w:tc>
        <w:tc>
          <w:tcPr>
            <w:tcW w:w="1937" w:type="dxa"/>
            <w:tcBorders>
              <w:top w:val="nil"/>
              <w:left w:val="nil"/>
              <w:bottom w:val="single" w:color="auto" w:sz="4" w:space="0"/>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szCs w:val="18"/>
              </w:rPr>
              <w:t>２０２５</w:t>
            </w:r>
            <w:r>
              <w:rPr>
                <w:rFonts w:ascii="Times New Roman" w:hAnsi="Times New Roman"/>
                <w:bCs/>
                <w:sz w:val="18"/>
              </w:rPr>
              <w:t>年１月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指标名称</w:t>
            </w:r>
          </w:p>
        </w:tc>
        <w:tc>
          <w:tcPr>
            <w:tcW w:w="1145" w:type="dxa"/>
            <w:tcBorders>
              <w:top w:val="single" w:color="auto" w:sz="4" w:space="0"/>
              <w:left w:val="nil"/>
              <w:bottom w:val="single" w:color="auto" w:sz="4" w:space="0"/>
              <w:right w:val="nil"/>
            </w:tcBorders>
            <w:vAlign w:val="center"/>
          </w:tcPr>
          <w:p>
            <w:pPr>
              <w:spacing w:line="240" w:lineRule="exact"/>
              <w:jc w:val="center"/>
              <w:rPr>
                <w:rFonts w:ascii="Times New Roman" w:hAnsi="Times New Roman"/>
                <w:bCs/>
                <w:szCs w:val="21"/>
              </w:rPr>
            </w:pPr>
            <w:r>
              <w:rPr>
                <w:rFonts w:ascii="Times New Roman" w:hAnsi="Times New Roman"/>
                <w:bCs/>
                <w:sz w:val="18"/>
                <w:szCs w:val="18"/>
              </w:rPr>
              <w:t>计量单位</w:t>
            </w:r>
          </w:p>
        </w:tc>
        <w:tc>
          <w:tcPr>
            <w:tcW w:w="1064"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代码</w:t>
            </w:r>
          </w:p>
        </w:tc>
        <w:tc>
          <w:tcPr>
            <w:tcW w:w="1937"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甲</w:t>
            </w:r>
          </w:p>
        </w:tc>
        <w:tc>
          <w:tcPr>
            <w:tcW w:w="1145" w:type="dxa"/>
            <w:tcBorders>
              <w:top w:val="single" w:color="auto" w:sz="4" w:space="0"/>
              <w:left w:val="nil"/>
              <w:bottom w:val="single" w:color="auto" w:sz="4" w:space="0"/>
              <w:right w:val="nil"/>
            </w:tcBorders>
            <w:vAlign w:val="center"/>
          </w:tcPr>
          <w:p>
            <w:pPr>
              <w:spacing w:line="240" w:lineRule="exact"/>
              <w:jc w:val="center"/>
              <w:rPr>
                <w:rFonts w:ascii="Times New Roman" w:hAnsi="Times New Roman"/>
                <w:bCs/>
                <w:sz w:val="18"/>
                <w:szCs w:val="18"/>
              </w:rPr>
            </w:pPr>
            <w:r>
              <w:rPr>
                <w:rFonts w:ascii="Times New Roman" w:hAnsi="Times New Roman"/>
                <w:bCs/>
                <w:sz w:val="18"/>
                <w:szCs w:val="18"/>
              </w:rPr>
              <w:t>乙</w:t>
            </w:r>
          </w:p>
        </w:tc>
        <w:tc>
          <w:tcPr>
            <w:tcW w:w="1064"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丙</w:t>
            </w:r>
          </w:p>
        </w:tc>
        <w:tc>
          <w:tcPr>
            <w:tcW w:w="1937"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一、统计的高新技术企业数量（K1A1_0&gt;K1A2）</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sz w:val="18"/>
                <w:szCs w:val="18"/>
              </w:rPr>
              <w:t>家</w:t>
            </w:r>
          </w:p>
        </w:tc>
        <w:tc>
          <w:tcPr>
            <w:tcW w:w="1064" w:type="dxa"/>
            <w:tcBorders>
              <w:top w:val="single" w:color="auto" w:sz="4" w:space="0"/>
              <w:left w:val="single" w:color="auto" w:sz="4" w:space="0"/>
              <w:bottom w:val="single" w:color="auto" w:sz="4" w:space="0"/>
              <w:right w:val="nil"/>
            </w:tcBorders>
            <w:vAlign w:val="center"/>
          </w:tcPr>
          <w:p>
            <w:pPr>
              <w:spacing w:line="280" w:lineRule="exact"/>
              <w:jc w:val="center"/>
              <w:rPr>
                <w:rFonts w:cstheme="minorHAnsi"/>
                <w:bCs/>
                <w:sz w:val="18"/>
                <w:szCs w:val="18"/>
              </w:rPr>
            </w:pPr>
            <w:r>
              <w:rPr>
                <w:rFonts w:cstheme="minorHAnsi"/>
                <w:bCs/>
                <w:sz w:val="18"/>
                <w:szCs w:val="18"/>
              </w:rPr>
              <w:t>K1A1_0</w:t>
            </w:r>
          </w:p>
        </w:tc>
        <w:tc>
          <w:tcPr>
            <w:tcW w:w="1937" w:type="dxa"/>
            <w:tcBorders>
              <w:top w:val="single" w:color="auto" w:sz="4" w:space="0"/>
              <w:left w:val="single" w:color="auto" w:sz="4" w:space="0"/>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ind w:firstLine="360" w:firstLineChars="200"/>
              <w:rPr>
                <w:rFonts w:cstheme="minorHAnsi"/>
                <w:bCs/>
                <w:sz w:val="18"/>
                <w:szCs w:val="18"/>
              </w:rPr>
            </w:pPr>
            <w:r>
              <w:rPr>
                <w:rFonts w:cstheme="minorHAnsi"/>
                <w:bCs/>
                <w:sz w:val="18"/>
                <w:szCs w:val="18"/>
              </w:rPr>
              <w:t>其中：收入上亿企业</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sz w:val="18"/>
                <w:szCs w:val="18"/>
              </w:rPr>
              <w:t>家</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sz w:val="18"/>
                <w:szCs w:val="18"/>
              </w:rPr>
              <w:t>K1A2</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kern w:val="0"/>
                <w:sz w:val="18"/>
                <w:szCs w:val="18"/>
              </w:rPr>
              <w:t>二、统计高企年末从业人员</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sz w:val="18"/>
                <w:szCs w:val="18"/>
              </w:rPr>
              <w:t>人</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kern w:val="0"/>
                <w:sz w:val="18"/>
                <w:szCs w:val="18"/>
              </w:rPr>
              <w:t>K1B</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三、营业收入（K1C1&gt;=K1C2）</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kern w:val="0"/>
                <w:sz w:val="18"/>
                <w:szCs w:val="18"/>
              </w:rPr>
              <w:t>K1C1</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四、出口总额</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sz w:val="18"/>
                <w:szCs w:val="18"/>
              </w:rPr>
              <w:t>K1C2</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五、工业总产值</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kern w:val="0"/>
                <w:sz w:val="18"/>
                <w:szCs w:val="18"/>
              </w:rPr>
              <w:t>K1D</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六、利润总额</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kern w:val="0"/>
                <w:sz w:val="18"/>
                <w:szCs w:val="18"/>
              </w:rPr>
            </w:pPr>
            <w:r>
              <w:rPr>
                <w:rFonts w:cstheme="minorHAnsi"/>
                <w:bCs/>
                <w:kern w:val="0"/>
                <w:sz w:val="18"/>
                <w:szCs w:val="18"/>
              </w:rPr>
              <w:t>K2E</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七、净利润</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kern w:val="0"/>
                <w:sz w:val="18"/>
                <w:szCs w:val="18"/>
              </w:rPr>
              <w:t>K1E</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widowControl/>
              <w:spacing w:line="280" w:lineRule="exact"/>
              <w:rPr>
                <w:rFonts w:cstheme="minorHAnsi"/>
                <w:bCs/>
                <w:kern w:val="0"/>
                <w:sz w:val="18"/>
                <w:szCs w:val="18"/>
              </w:rPr>
            </w:pPr>
            <w:r>
              <w:rPr>
                <w:rFonts w:cstheme="minorHAnsi"/>
                <w:bCs/>
                <w:kern w:val="0"/>
                <w:sz w:val="18"/>
                <w:szCs w:val="18"/>
              </w:rPr>
              <w:t>八、实际上缴税费总额</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kern w:val="0"/>
                <w:sz w:val="18"/>
                <w:szCs w:val="18"/>
              </w:rPr>
            </w:pPr>
            <w:r>
              <w:rPr>
                <w:rFonts w:cstheme="minorHAnsi"/>
                <w:bCs/>
                <w:kern w:val="0"/>
                <w:sz w:val="18"/>
                <w:szCs w:val="18"/>
              </w:rPr>
              <w:t>K1F</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widowControl/>
              <w:spacing w:line="280" w:lineRule="exact"/>
              <w:rPr>
                <w:rFonts w:cstheme="minorHAnsi"/>
                <w:bCs/>
                <w:kern w:val="0"/>
                <w:sz w:val="18"/>
                <w:szCs w:val="18"/>
              </w:rPr>
            </w:pPr>
            <w:r>
              <w:rPr>
                <w:rFonts w:cstheme="minorHAnsi"/>
                <w:bCs/>
                <w:kern w:val="0"/>
                <w:sz w:val="18"/>
                <w:szCs w:val="18"/>
              </w:rPr>
              <w:t>九、实际减免税额（</w:t>
            </w:r>
            <w:r>
              <w:rPr>
                <w:rFonts w:cstheme="minorHAnsi"/>
                <w:bCs/>
                <w:sz w:val="18"/>
                <w:szCs w:val="18"/>
              </w:rPr>
              <w:t>K1G&gt;KH</w:t>
            </w:r>
            <w:r>
              <w:rPr>
                <w:rFonts w:hint="eastAsia" w:cstheme="minorHAnsi"/>
                <w:bCs/>
                <w:sz w:val="18"/>
                <w:szCs w:val="18"/>
                <w:lang w:val="en-US" w:eastAsia="zh-CN"/>
              </w:rPr>
              <w:t>+KJ</w:t>
            </w:r>
            <w:r>
              <w:rPr>
                <w:rFonts w:cstheme="minorHAnsi"/>
                <w:bCs/>
                <w:sz w:val="18"/>
                <w:szCs w:val="18"/>
              </w:rPr>
              <w:t>）</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kern w:val="0"/>
                <w:sz w:val="18"/>
                <w:szCs w:val="18"/>
              </w:rPr>
            </w:pPr>
            <w:r>
              <w:rPr>
                <w:rFonts w:cstheme="minorHAnsi"/>
                <w:bCs/>
                <w:kern w:val="0"/>
                <w:sz w:val="18"/>
                <w:szCs w:val="18"/>
              </w:rPr>
              <w:t>K1G</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2" w:space="0"/>
              <w:right w:val="single" w:color="auto" w:sz="2" w:space="0"/>
            </w:tcBorders>
            <w:vAlign w:val="center"/>
          </w:tcPr>
          <w:p>
            <w:pPr>
              <w:widowControl/>
              <w:spacing w:line="280" w:lineRule="exact"/>
              <w:ind w:firstLine="360" w:firstLineChars="200"/>
              <w:rPr>
                <w:rFonts w:cstheme="minorHAnsi"/>
                <w:bCs/>
                <w:kern w:val="0"/>
                <w:sz w:val="18"/>
                <w:szCs w:val="18"/>
              </w:rPr>
            </w:pPr>
            <w:r>
              <w:rPr>
                <w:rFonts w:cstheme="minorHAnsi"/>
                <w:bCs/>
                <w:kern w:val="0"/>
                <w:sz w:val="18"/>
                <w:szCs w:val="18"/>
              </w:rPr>
              <w:t>其中：享受高新技术企业政策减免所得税</w:t>
            </w:r>
          </w:p>
        </w:tc>
        <w:tc>
          <w:tcPr>
            <w:tcW w:w="1145"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cstheme="minorHAnsi"/>
                <w:bCs/>
                <w:kern w:val="0"/>
                <w:sz w:val="18"/>
                <w:szCs w:val="18"/>
              </w:rPr>
            </w:pPr>
            <w:r>
              <w:rPr>
                <w:rFonts w:cstheme="minorHAnsi"/>
                <w:bCs/>
                <w:kern w:val="0"/>
                <w:sz w:val="18"/>
                <w:szCs w:val="18"/>
              </w:rPr>
              <w:t>KH</w:t>
            </w:r>
          </w:p>
        </w:tc>
        <w:tc>
          <w:tcPr>
            <w:tcW w:w="1937" w:type="dxa"/>
            <w:tcBorders>
              <w:top w:val="single" w:color="auto" w:sz="4" w:space="0"/>
              <w:left w:val="single" w:color="auto" w:sz="2" w:space="0"/>
              <w:bottom w:val="single" w:color="auto" w:sz="2"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2" w:space="0"/>
              <w:right w:val="single" w:color="auto" w:sz="2" w:space="0"/>
            </w:tcBorders>
            <w:vAlign w:val="center"/>
          </w:tcPr>
          <w:p>
            <w:pPr>
              <w:widowControl/>
              <w:spacing w:line="280" w:lineRule="exact"/>
              <w:ind w:firstLine="900" w:firstLineChars="500"/>
              <w:rPr>
                <w:rFonts w:cstheme="minorHAnsi"/>
                <w:bCs/>
                <w:kern w:val="0"/>
                <w:sz w:val="18"/>
                <w:szCs w:val="18"/>
              </w:rPr>
            </w:pPr>
            <w:r>
              <w:rPr>
                <w:rFonts w:hint="eastAsia" w:cstheme="minorHAnsi"/>
                <w:bCs/>
                <w:kern w:val="0"/>
                <w:sz w:val="18"/>
                <w:szCs w:val="18"/>
              </w:rPr>
              <w:t>享受先进制造业企业增值税加计抵减额</w:t>
            </w:r>
          </w:p>
        </w:tc>
        <w:tc>
          <w:tcPr>
            <w:tcW w:w="1145"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hint="default" w:eastAsia="宋体" w:cstheme="minorHAnsi"/>
                <w:bCs/>
                <w:kern w:val="0"/>
                <w:sz w:val="18"/>
                <w:szCs w:val="18"/>
                <w:lang w:val="en-US" w:eastAsia="zh-CN"/>
              </w:rPr>
            </w:pPr>
            <w:r>
              <w:rPr>
                <w:rFonts w:hint="eastAsia" w:cstheme="minorHAnsi"/>
                <w:bCs/>
                <w:kern w:val="0"/>
                <w:sz w:val="18"/>
                <w:szCs w:val="18"/>
                <w:lang w:val="en-US" w:eastAsia="zh-CN"/>
              </w:rPr>
              <w:t>KJ</w:t>
            </w:r>
          </w:p>
        </w:tc>
        <w:tc>
          <w:tcPr>
            <w:tcW w:w="1937" w:type="dxa"/>
            <w:tcBorders>
              <w:top w:val="single" w:color="auto" w:sz="4" w:space="0"/>
              <w:left w:val="single" w:color="auto" w:sz="2" w:space="0"/>
              <w:bottom w:val="single" w:color="auto" w:sz="2"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93" w:type="dxa"/>
            <w:gridSpan w:val="5"/>
            <w:tcBorders>
              <w:top w:val="single" w:color="auto" w:sz="2" w:space="0"/>
              <w:left w:val="nil"/>
              <w:bottom w:val="single" w:color="auto" w:sz="8" w:space="0"/>
              <w:right w:val="nil"/>
            </w:tcBorders>
            <w:vAlign w:val="center"/>
          </w:tcPr>
          <w:p>
            <w:pPr>
              <w:snapToGrid w:val="0"/>
              <w:spacing w:line="280" w:lineRule="exact"/>
              <w:jc w:val="left"/>
              <w:rPr>
                <w:rFonts w:ascii="Times New Roman" w:hAnsi="Times New Roman"/>
                <w:bCs/>
                <w:sz w:val="18"/>
                <w:szCs w:val="24"/>
              </w:rPr>
            </w:pPr>
            <w:r>
              <w:rPr>
                <w:rFonts w:ascii="Times New Roman" w:hAnsi="Times New Roman"/>
                <w:bCs/>
                <w:sz w:val="18"/>
                <w:szCs w:val="24"/>
              </w:rPr>
              <w:t>补充资料：</w:t>
            </w:r>
          </w:p>
          <w:p>
            <w:pPr>
              <w:snapToGrid w:val="0"/>
              <w:spacing w:line="280" w:lineRule="exact"/>
              <w:jc w:val="left"/>
              <w:rPr>
                <w:rFonts w:ascii="Times New Roman" w:hAnsi="Times New Roman"/>
                <w:bCs/>
                <w:sz w:val="18"/>
                <w:szCs w:val="24"/>
              </w:rPr>
            </w:pPr>
            <w:r>
              <w:rPr>
                <w:rFonts w:ascii="Times New Roman" w:hAnsi="Times New Roman"/>
                <w:bCs/>
                <w:sz w:val="18"/>
                <w:szCs w:val="24"/>
              </w:rPr>
              <w:t>综合填报单位地址：</w:t>
            </w:r>
            <w:r>
              <w:rPr>
                <w:rFonts w:hint="eastAsia" w:ascii="Times New Roman" w:hAnsi="Times New Roman"/>
                <w:bCs/>
                <w:sz w:val="18"/>
                <w:szCs w:val="24"/>
              </w:rPr>
              <w:t xml:space="preserve"> </w:t>
            </w:r>
            <w:r>
              <w:rPr>
                <w:rFonts w:ascii="Times New Roman" w:hAnsi="Times New Roman"/>
                <w:bCs/>
                <w:sz w:val="18"/>
                <w:szCs w:val="24"/>
              </w:rPr>
              <w:t xml:space="preserve">                                       邮编：</w:t>
            </w:r>
            <w:r>
              <w:rPr>
                <w:rFonts w:asciiTheme="minorEastAsia" w:hAnsiTheme="minorEastAsia" w:eastAsiaTheme="minorEastAsia"/>
                <w:bCs/>
                <w:sz w:val="18"/>
                <w:szCs w:val="24"/>
              </w:rPr>
              <w:t>□□□□□□</w:t>
            </w:r>
          </w:p>
          <w:p>
            <w:pPr>
              <w:snapToGrid w:val="0"/>
              <w:spacing w:line="280" w:lineRule="exact"/>
              <w:jc w:val="left"/>
              <w:rPr>
                <w:rFonts w:ascii="Times New Roman" w:hAnsi="Times New Roman"/>
                <w:bCs/>
                <w:sz w:val="18"/>
                <w:szCs w:val="24"/>
              </w:rPr>
            </w:pPr>
            <w:r>
              <w:rPr>
                <w:rFonts w:ascii="Times New Roman" w:hAnsi="Times New Roman"/>
                <w:bCs/>
                <w:sz w:val="18"/>
                <w:szCs w:val="24"/>
              </w:rPr>
              <w:t>联系电话：</w:t>
            </w:r>
            <w:r>
              <w:rPr>
                <w:rFonts w:hint="eastAsia" w:ascii="Times New Roman" w:hAnsi="Times New Roman"/>
                <w:bCs/>
                <w:sz w:val="18"/>
                <w:szCs w:val="24"/>
              </w:rPr>
              <w:t xml:space="preserve"> </w:t>
            </w:r>
            <w:r>
              <w:rPr>
                <w:rFonts w:ascii="Times New Roman" w:hAnsi="Times New Roman"/>
                <w:bCs/>
                <w:sz w:val="18"/>
                <w:szCs w:val="24"/>
              </w:rPr>
              <w:t xml:space="preserve">                                               传真：</w:t>
            </w:r>
          </w:p>
        </w:tc>
      </w:tr>
    </w:tbl>
    <w:p>
      <w:pPr>
        <w:snapToGrid w:val="0"/>
        <w:spacing w:line="280" w:lineRule="exact"/>
        <w:jc w:val="left"/>
        <w:rPr>
          <w:rFonts w:ascii="Times New Roman" w:hAnsi="Times New Roman"/>
          <w:bCs/>
          <w:sz w:val="18"/>
          <w:szCs w:val="20"/>
        </w:rPr>
      </w:pPr>
      <w:r>
        <w:rPr>
          <w:rFonts w:ascii="Times New Roman" w:hAnsi="Times New Roman"/>
          <w:bCs/>
          <w:sz w:val="18"/>
          <w:szCs w:val="20"/>
        </w:rPr>
        <w:t>单位负责人：</w:t>
      </w:r>
      <w:r>
        <w:rPr>
          <w:rFonts w:hint="eastAsia" w:ascii="Times New Roman" w:hAnsi="Times New Roman"/>
          <w:bCs/>
          <w:sz w:val="18"/>
          <w:szCs w:val="20"/>
          <w:u w:val="single"/>
        </w:rPr>
        <w:t xml:space="preserve"> </w:t>
      </w:r>
      <w:r>
        <w:rPr>
          <w:rFonts w:ascii="Times New Roman" w:hAnsi="Times New Roman"/>
          <w:bCs/>
          <w:sz w:val="18"/>
          <w:szCs w:val="20"/>
          <w:u w:val="single"/>
        </w:rPr>
        <w:t xml:space="preserve">                   </w:t>
      </w:r>
      <w:r>
        <w:rPr>
          <w:rFonts w:ascii="Times New Roman" w:hAnsi="Times New Roman"/>
          <w:bCs/>
          <w:sz w:val="18"/>
          <w:szCs w:val="20"/>
        </w:rPr>
        <w:t xml:space="preserve">    填表人:</w:t>
      </w:r>
      <w:r>
        <w:rPr>
          <w:rFonts w:ascii="Times New Roman" w:hAnsi="Times New Roman"/>
          <w:bCs/>
          <w:sz w:val="18"/>
          <w:szCs w:val="20"/>
          <w:u w:val="single"/>
        </w:rPr>
        <w:t xml:space="preserve">                      </w:t>
      </w:r>
      <w:r>
        <w:rPr>
          <w:rFonts w:ascii="Times New Roman" w:hAnsi="Times New Roman"/>
          <w:bCs/>
          <w:sz w:val="18"/>
          <w:szCs w:val="20"/>
        </w:rPr>
        <w:t xml:space="preserve">     报出日期:20</w:t>
      </w:r>
      <w:r>
        <w:rPr>
          <w:rFonts w:ascii="Times New Roman" w:hAnsi="Times New Roman"/>
          <w:bCs/>
          <w:sz w:val="18"/>
          <w:szCs w:val="20"/>
          <w:u w:val="single"/>
        </w:rPr>
        <w:t xml:space="preserve">  </w:t>
      </w:r>
      <w:r>
        <w:rPr>
          <w:rFonts w:ascii="Times New Roman" w:hAnsi="Times New Roman"/>
          <w:bCs/>
          <w:sz w:val="18"/>
          <w:szCs w:val="20"/>
        </w:rPr>
        <w:t>年</w:t>
      </w:r>
      <w:r>
        <w:rPr>
          <w:rFonts w:hint="eastAsia" w:ascii="Times New Roman" w:hAnsi="Times New Roman"/>
          <w:bCs/>
          <w:sz w:val="18"/>
          <w:szCs w:val="20"/>
          <w:u w:val="single"/>
        </w:rPr>
        <w:t xml:space="preserve"> </w:t>
      </w:r>
      <w:r>
        <w:rPr>
          <w:rFonts w:ascii="Times New Roman" w:hAnsi="Times New Roman"/>
          <w:bCs/>
          <w:sz w:val="18"/>
          <w:szCs w:val="20"/>
          <w:u w:val="single"/>
        </w:rPr>
        <w:t xml:space="preserve"> </w:t>
      </w:r>
      <w:r>
        <w:rPr>
          <w:rFonts w:ascii="Times New Roman" w:hAnsi="Times New Roman"/>
          <w:bCs/>
          <w:sz w:val="18"/>
          <w:szCs w:val="20"/>
        </w:rPr>
        <w:t>月</w:t>
      </w:r>
      <w:r>
        <w:rPr>
          <w:rFonts w:hint="eastAsia" w:ascii="Times New Roman" w:hAnsi="Times New Roman"/>
          <w:bCs/>
          <w:sz w:val="18"/>
          <w:szCs w:val="20"/>
          <w:u w:val="single"/>
        </w:rPr>
        <w:t xml:space="preserve"> </w:t>
      </w:r>
      <w:r>
        <w:rPr>
          <w:rFonts w:ascii="Times New Roman" w:hAnsi="Times New Roman"/>
          <w:bCs/>
          <w:sz w:val="18"/>
          <w:szCs w:val="20"/>
          <w:u w:val="single"/>
        </w:rPr>
        <w:t xml:space="preserve"> </w:t>
      </w:r>
      <w:r>
        <w:rPr>
          <w:rFonts w:ascii="Times New Roman" w:hAnsi="Times New Roman"/>
          <w:bCs/>
          <w:sz w:val="18"/>
          <w:szCs w:val="20"/>
        </w:rPr>
        <w:t>日</w:t>
      </w:r>
    </w:p>
    <w:p>
      <w:pPr>
        <w:rPr>
          <w:rFonts w:ascii="Times New Roman" w:hAnsi="Times New Roman"/>
          <w:bCs/>
          <w:szCs w:val="21"/>
        </w:rPr>
      </w:pPr>
      <w:r>
        <w:rPr>
          <w:rFonts w:hint="eastAsia" w:ascii="Times New Roman" w:hAnsi="Times New Roman"/>
          <w:bCs/>
          <w:szCs w:val="21"/>
        </w:rPr>
        <w:t xml:space="preserve"> </w:t>
      </w:r>
    </w:p>
    <w:p>
      <w:pPr>
        <w:spacing w:line="280" w:lineRule="exact"/>
        <w:rPr>
          <w:rFonts w:cstheme="minorHAnsi"/>
          <w:bCs/>
          <w:kern w:val="0"/>
          <w:sz w:val="18"/>
          <w:szCs w:val="18"/>
        </w:rPr>
      </w:pPr>
      <w:r>
        <w:rPr>
          <w:rFonts w:ascii="Times New Roman" w:hAnsi="Times New Roman"/>
          <w:bCs/>
          <w:sz w:val="18"/>
          <w:szCs w:val="24"/>
        </w:rPr>
        <w:t>说</w:t>
      </w:r>
      <w:r>
        <w:rPr>
          <w:bCs/>
          <w:sz w:val="18"/>
          <w:szCs w:val="24"/>
        </w:rPr>
        <w:t>明</w:t>
      </w:r>
      <w:r>
        <w:rPr>
          <w:rFonts w:cstheme="minorHAnsi"/>
          <w:bCs/>
          <w:sz w:val="18"/>
          <w:szCs w:val="24"/>
        </w:rPr>
        <w:t>：</w:t>
      </w:r>
      <w:r>
        <w:rPr>
          <w:rFonts w:cstheme="minorHAnsi"/>
          <w:bCs/>
          <w:kern w:val="0"/>
          <w:sz w:val="18"/>
          <w:szCs w:val="18"/>
        </w:rPr>
        <w:t>1.本表为年报，填报每年1月1日至12月31日情况。</w:t>
      </w:r>
    </w:p>
    <w:p>
      <w:pPr>
        <w:adjustRightInd w:val="0"/>
        <w:spacing w:line="280" w:lineRule="exact"/>
        <w:ind w:left="525" w:leftChars="250"/>
        <w:rPr>
          <w:rFonts w:cstheme="minorHAnsi"/>
          <w:bCs/>
          <w:sz w:val="18"/>
          <w:szCs w:val="24"/>
        </w:rPr>
      </w:pPr>
      <w:r>
        <w:rPr>
          <w:rFonts w:cstheme="minorHAnsi"/>
          <w:bCs/>
          <w:kern w:val="0"/>
          <w:sz w:val="18"/>
          <w:szCs w:val="18"/>
        </w:rPr>
        <w:t>2.填报范围：各省、自治区、直辖市、科技厅（委、局）报送</w:t>
      </w:r>
      <w:r>
        <w:rPr>
          <w:rFonts w:cstheme="minorHAnsi"/>
          <w:bCs/>
          <w:sz w:val="18"/>
          <w:szCs w:val="24"/>
        </w:rPr>
        <w:t>经各地方高新技术企业认定管理机构认定，</w:t>
      </w:r>
      <w:r>
        <w:rPr>
          <w:rFonts w:cstheme="minorHAnsi"/>
          <w:bCs/>
          <w:kern w:val="0"/>
          <w:sz w:val="18"/>
          <w:szCs w:val="18"/>
        </w:rPr>
        <w:t>并经全国高新技术企业认定管理工作领导小组备案，获得高新技术企业证书，且证书于报告期年底尚在有效期内的企业综合情况。</w:t>
      </w:r>
    </w:p>
    <w:p>
      <w:pPr>
        <w:adjustRightInd w:val="0"/>
        <w:spacing w:line="280" w:lineRule="exact"/>
        <w:ind w:left="525" w:leftChars="250"/>
        <w:rPr>
          <w:rFonts w:cstheme="minorHAnsi"/>
          <w:bCs/>
          <w:sz w:val="18"/>
          <w:szCs w:val="24"/>
        </w:rPr>
      </w:pPr>
      <w:r>
        <w:rPr>
          <w:rFonts w:cstheme="minorHAnsi"/>
          <w:bCs/>
          <w:kern w:val="0"/>
          <w:sz w:val="18"/>
          <w:szCs w:val="21"/>
        </w:rPr>
        <w:t>3.</w:t>
      </w:r>
      <w:r>
        <w:rPr>
          <w:rFonts w:cstheme="minorHAnsi"/>
          <w:bCs/>
          <w:sz w:val="18"/>
          <w:szCs w:val="24"/>
        </w:rPr>
        <w:t>报送日期及方式：本表请各科技厅（委、局）务必于报告期次年</w:t>
      </w:r>
      <w:r>
        <w:rPr>
          <w:rFonts w:hint="eastAsia" w:cstheme="minorHAnsi"/>
          <w:bCs/>
          <w:sz w:val="18"/>
          <w:szCs w:val="24"/>
          <w:lang w:val="en-US" w:eastAsia="zh-CN"/>
        </w:rPr>
        <w:t>1</w:t>
      </w:r>
      <w:r>
        <w:rPr>
          <w:rFonts w:cstheme="minorHAnsi"/>
          <w:bCs/>
          <w:sz w:val="18"/>
          <w:szCs w:val="24"/>
        </w:rPr>
        <w:t>月</w:t>
      </w:r>
      <w:r>
        <w:rPr>
          <w:rFonts w:hint="eastAsia" w:cstheme="minorHAnsi"/>
          <w:bCs/>
          <w:sz w:val="18"/>
          <w:szCs w:val="24"/>
          <w:lang w:val="en-US" w:eastAsia="zh-CN"/>
        </w:rPr>
        <w:t>25</w:t>
      </w:r>
      <w:r>
        <w:rPr>
          <w:rFonts w:cstheme="minorHAnsi"/>
          <w:bCs/>
          <w:sz w:val="18"/>
          <w:szCs w:val="24"/>
        </w:rPr>
        <w:t>日前将审核过的报表通过</w:t>
      </w:r>
      <w:r>
        <w:rPr>
          <w:rFonts w:cstheme="minorHAnsi"/>
          <w:bCs/>
          <w:kern w:val="0"/>
          <w:sz w:val="18"/>
          <w:szCs w:val="21"/>
        </w:rPr>
        <w:t>科技部火炬统计调查信息系统填报</w:t>
      </w:r>
      <w:r>
        <w:rPr>
          <w:rFonts w:cstheme="minorHAnsi"/>
          <w:bCs/>
          <w:sz w:val="18"/>
          <w:szCs w:val="24"/>
        </w:rPr>
        <w:t>，同时将领导签字盖章的纸件作为附件上传。</w:t>
      </w:r>
    </w:p>
    <w:p>
      <w:pPr>
        <w:adjustRightInd w:val="0"/>
        <w:spacing w:line="280" w:lineRule="exact"/>
        <w:ind w:left="525" w:leftChars="250"/>
        <w:rPr>
          <w:rFonts w:hint="default" w:eastAsia="宋体" w:cstheme="minorHAnsi"/>
          <w:bCs/>
          <w:sz w:val="18"/>
          <w:szCs w:val="24"/>
          <w:lang w:val="en-US" w:eastAsia="zh-CN"/>
        </w:rPr>
      </w:pPr>
      <w:r>
        <w:rPr>
          <w:rFonts w:cstheme="minorHAnsi"/>
          <w:bCs/>
          <w:sz w:val="18"/>
          <w:szCs w:val="24"/>
        </w:rPr>
        <w:t>4.审核</w:t>
      </w:r>
      <w:r>
        <w:rPr>
          <w:rFonts w:cstheme="minorHAnsi"/>
          <w:bCs/>
          <w:kern w:val="0"/>
          <w:sz w:val="18"/>
          <w:szCs w:val="18"/>
        </w:rPr>
        <w:t>关系：</w:t>
      </w:r>
      <w:r>
        <w:rPr>
          <w:rFonts w:cstheme="minorHAnsi"/>
          <w:bCs/>
          <w:sz w:val="18"/>
          <w:szCs w:val="24"/>
        </w:rPr>
        <w:t>（1）K1A1</w:t>
      </w:r>
      <w:r>
        <w:rPr>
          <w:rFonts w:cstheme="minorHAnsi"/>
          <w:bCs/>
          <w:sz w:val="18"/>
          <w:szCs w:val="18"/>
        </w:rPr>
        <w:t>_0</w:t>
      </w:r>
      <w:r>
        <w:rPr>
          <w:rFonts w:cstheme="minorHAnsi"/>
          <w:bCs/>
          <w:sz w:val="18"/>
          <w:szCs w:val="24"/>
        </w:rPr>
        <w:t>&gt;</w:t>
      </w:r>
      <w:r>
        <w:rPr>
          <w:rFonts w:cstheme="minorHAnsi"/>
          <w:bCs/>
          <w:kern w:val="0"/>
          <w:sz w:val="18"/>
          <w:szCs w:val="18"/>
        </w:rPr>
        <w:t>K1A2</w:t>
      </w:r>
      <w:r>
        <w:rPr>
          <w:rFonts w:cstheme="minorHAnsi"/>
          <w:bCs/>
          <w:sz w:val="18"/>
          <w:szCs w:val="24"/>
        </w:rPr>
        <w:t>（2）K1C1&gt;=K1C2（3）K2E&gt;=K1E(4)K1G&gt;KH</w:t>
      </w:r>
      <w:r>
        <w:rPr>
          <w:rFonts w:hint="eastAsia" w:cstheme="minorHAnsi"/>
          <w:bCs/>
          <w:sz w:val="18"/>
          <w:szCs w:val="24"/>
          <w:lang w:val="en-US" w:eastAsia="zh-CN"/>
        </w:rPr>
        <w:t>+KJ</w:t>
      </w:r>
    </w:p>
    <w:p>
      <w:pPr>
        <w:rPr>
          <w:rFonts w:ascii="Times New Roman" w:hAnsi="Times New Roman"/>
          <w:bCs/>
        </w:rPr>
      </w:pPr>
    </w:p>
    <w:p>
      <w:pPr>
        <w:tabs>
          <w:tab w:val="left" w:pos="753"/>
        </w:tabs>
        <w:spacing w:line="400" w:lineRule="exact"/>
        <w:jc w:val="center"/>
        <w:rPr>
          <w:rFonts w:ascii="Times New Roman" w:hAnsi="Times New Roman"/>
          <w:b/>
          <w:sz w:val="32"/>
          <w:szCs w:val="32"/>
        </w:rPr>
      </w:pPr>
      <w:r>
        <w:rPr>
          <w:rFonts w:ascii="Times New Roman" w:hAnsi="Times New Roman"/>
          <w:color w:val="FF0000"/>
          <w:sz w:val="28"/>
          <w:szCs w:val="28"/>
        </w:rPr>
        <w:br w:type="page"/>
      </w:r>
      <w:r>
        <w:rPr>
          <w:rFonts w:ascii="Times New Roman" w:hAnsi="Times New Roman"/>
          <w:b/>
          <w:sz w:val="32"/>
          <w:szCs w:val="32"/>
        </w:rPr>
        <w:t>指标解释</w:t>
      </w:r>
    </w:p>
    <w:p>
      <w:pPr>
        <w:pStyle w:val="2"/>
        <w:rPr>
          <w:rFonts w:ascii="Times New Roman" w:hAnsi="Times New Roman"/>
        </w:rPr>
      </w:pPr>
    </w:p>
    <w:p>
      <w:pPr>
        <w:spacing w:line="400" w:lineRule="exact"/>
        <w:ind w:firstLine="420" w:firstLineChars="200"/>
        <w:rPr>
          <w:rFonts w:ascii="Times New Roman" w:hAnsi="Times New Roman"/>
          <w:bCs/>
          <w:szCs w:val="21"/>
        </w:rPr>
      </w:pPr>
      <w:r>
        <w:rPr>
          <w:rFonts w:ascii="Times New Roman" w:hAnsi="Times New Roman" w:eastAsia="黑体"/>
          <w:bCs/>
          <w:szCs w:val="21"/>
        </w:rPr>
        <w:t>高新技术企业</w:t>
      </w:r>
      <w:r>
        <w:rPr>
          <w:rFonts w:hint="eastAsia"/>
          <w:bCs/>
        </w:rPr>
        <w:t>指经省、自治区、直辖市、计划单列市高新技术企业认定管理机构认定，并经全国高新技术企业认定管理工作领导小组备案，获得高新技术企业证书，且证书于报告期年底尚在有效期内的企业。</w:t>
      </w:r>
    </w:p>
    <w:p>
      <w:pPr>
        <w:spacing w:line="400" w:lineRule="exact"/>
        <w:ind w:firstLine="420" w:firstLineChars="200"/>
        <w:rPr>
          <w:rFonts w:ascii="Times New Roman" w:hAnsi="Times New Roman"/>
          <w:bCs/>
          <w:szCs w:val="21"/>
        </w:rPr>
      </w:pPr>
      <w:r>
        <w:rPr>
          <w:rFonts w:ascii="Times New Roman" w:hAnsi="Times New Roman" w:eastAsia="黑体"/>
          <w:bCs/>
          <w:szCs w:val="21"/>
        </w:rPr>
        <w:t>年末从业人员</w:t>
      </w:r>
      <w:r>
        <w:rPr>
          <w:rFonts w:ascii="Times New Roman" w:hAnsi="Times New Roman"/>
          <w:bCs/>
          <w:szCs w:val="21"/>
        </w:rPr>
        <w:t>指期末最后一日24时在本单位中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400" w:lineRule="exact"/>
        <w:ind w:firstLine="420" w:firstLineChars="200"/>
        <w:rPr>
          <w:rFonts w:ascii="Times New Roman" w:hAnsi="Times New Roman"/>
          <w:bCs/>
          <w:szCs w:val="21"/>
        </w:rPr>
      </w:pPr>
      <w:r>
        <w:rPr>
          <w:rFonts w:ascii="Times New Roman" w:hAnsi="Times New Roman"/>
          <w:bCs/>
          <w:szCs w:val="21"/>
        </w:rPr>
        <w:t>（1）离开本单位仍保留劳动关系，并定期领取生活费的人员；</w:t>
      </w:r>
    </w:p>
    <w:p>
      <w:pPr>
        <w:spacing w:line="400" w:lineRule="exact"/>
        <w:ind w:firstLine="420" w:firstLineChars="200"/>
        <w:rPr>
          <w:rFonts w:ascii="Times New Roman" w:hAnsi="Times New Roman"/>
          <w:bCs/>
          <w:szCs w:val="21"/>
        </w:rPr>
      </w:pPr>
      <w:r>
        <w:rPr>
          <w:rFonts w:ascii="Times New Roman" w:hAnsi="Times New Roman"/>
          <w:bCs/>
          <w:szCs w:val="21"/>
        </w:rPr>
        <w:t>（2）利用课余时间打工的学生及在本单位实习的各类在校学生；</w:t>
      </w:r>
    </w:p>
    <w:p>
      <w:pPr>
        <w:spacing w:line="400" w:lineRule="exact"/>
        <w:ind w:firstLine="420" w:firstLineChars="200"/>
        <w:rPr>
          <w:rFonts w:ascii="Times New Roman" w:hAnsi="Times New Roman"/>
          <w:bCs/>
          <w:szCs w:val="21"/>
        </w:rPr>
      </w:pPr>
      <w:r>
        <w:rPr>
          <w:rFonts w:ascii="Times New Roman" w:hAnsi="Times New Roman"/>
          <w:bCs/>
          <w:szCs w:val="21"/>
        </w:rPr>
        <w:t>（3）本单位因劳务外包而使用的人员，如：建筑业整建制使用的人员。</w:t>
      </w:r>
    </w:p>
    <w:p>
      <w:pPr>
        <w:spacing w:line="400" w:lineRule="exact"/>
        <w:ind w:firstLine="420" w:firstLineChars="200"/>
        <w:rPr>
          <w:rFonts w:ascii="Times New Roman" w:hAnsi="Times New Roman"/>
          <w:bCs/>
          <w:szCs w:val="21"/>
        </w:rPr>
      </w:pPr>
      <w:r>
        <w:rPr>
          <w:rFonts w:ascii="Times New Roman" w:hAnsi="Times New Roman" w:eastAsia="黑体"/>
          <w:bCs/>
          <w:szCs w:val="21"/>
        </w:rPr>
        <w:t>工业增加值</w:t>
      </w:r>
      <w:r>
        <w:rPr>
          <w:rFonts w:ascii="Times New Roman" w:hAnsi="Times New Roman"/>
          <w:bCs/>
          <w:szCs w:val="21"/>
        </w:rPr>
        <w:t>是指工业企业在报告期内以货币形式表现的工业生产活动的最终成果;是工业企业全部生产活动的总成果扣除了在生产过程中消耗或转移的物质产品和劳务价值后的余额;是工业企业生产过程中新增加的价值。工业增加值有两种核算方法：</w:t>
      </w:r>
    </w:p>
    <w:p>
      <w:pPr>
        <w:pStyle w:val="2"/>
        <w:spacing w:after="0" w:line="400" w:lineRule="exact"/>
        <w:ind w:firstLine="420" w:firstLineChars="200"/>
        <w:rPr>
          <w:rFonts w:ascii="Times New Roman" w:hAnsi="Times New Roman"/>
          <w:szCs w:val="21"/>
        </w:rPr>
      </w:pPr>
      <w:r>
        <w:rPr>
          <w:rFonts w:ascii="Times New Roman" w:hAnsi="Times New Roman"/>
          <w:szCs w:val="21"/>
        </w:rPr>
        <w:t>一是生产法，即工业总产出减去工业中间投入；</w:t>
      </w:r>
    </w:p>
    <w:p>
      <w:pPr>
        <w:pStyle w:val="2"/>
        <w:spacing w:after="0" w:line="400" w:lineRule="exact"/>
        <w:ind w:firstLine="420" w:firstLineChars="200"/>
        <w:rPr>
          <w:rFonts w:ascii="Times New Roman" w:hAnsi="Times New Roman"/>
          <w:szCs w:val="21"/>
        </w:rPr>
      </w:pPr>
      <w:r>
        <w:rPr>
          <w:rFonts w:ascii="Times New Roman" w:hAnsi="Times New Roman"/>
          <w:szCs w:val="21"/>
        </w:rPr>
        <w:t>二是收入法，即从收入的角度出发，根据生产要素在生产过程中应得到的收入份额</w:t>
      </w:r>
      <w:r>
        <w:rPr>
          <w:rFonts w:ascii="Times New Roman" w:hAnsi="Times New Roman"/>
          <w:bCs/>
          <w:szCs w:val="24"/>
        </w:rPr>
        <w:t>核算</w:t>
      </w:r>
      <w:r>
        <w:rPr>
          <w:rFonts w:ascii="Times New Roman" w:hAnsi="Times New Roman"/>
          <w:szCs w:val="21"/>
        </w:rPr>
        <w:t>，具体构成项目有固定资产折旧、劳动者报酬、生产税净额、营业盈余，这种方法也称要素分配法。</w:t>
      </w:r>
    </w:p>
    <w:p>
      <w:pPr>
        <w:pStyle w:val="2"/>
        <w:spacing w:after="0" w:line="400" w:lineRule="exact"/>
        <w:ind w:firstLine="420" w:firstLineChars="200"/>
        <w:rPr>
          <w:rFonts w:ascii="Times New Roman" w:hAnsi="Times New Roman"/>
          <w:szCs w:val="21"/>
        </w:rPr>
      </w:pPr>
      <w:r>
        <w:rPr>
          <w:rFonts w:ascii="Times New Roman" w:hAnsi="Times New Roman"/>
          <w:szCs w:val="21"/>
        </w:rPr>
        <w:t>（1）生产法：工业增加值=工业总产出—工业中间投入+应缴增值税</w:t>
      </w:r>
    </w:p>
    <w:p>
      <w:pPr>
        <w:pStyle w:val="2"/>
        <w:spacing w:after="0" w:line="400" w:lineRule="exact"/>
        <w:ind w:firstLine="420" w:firstLineChars="200"/>
        <w:rPr>
          <w:rFonts w:ascii="Times New Roman" w:hAnsi="Times New Roman"/>
        </w:rPr>
      </w:pPr>
      <w:r>
        <w:rPr>
          <w:rFonts w:ascii="Times New Roman" w:hAnsi="Times New Roman"/>
          <w:szCs w:val="21"/>
        </w:rPr>
        <w:t>（2）收入法（分配法）：工业增加值=固定资产折旧+劳动者报酬+生产税净额+营业盈余</w:t>
      </w:r>
    </w:p>
    <w:p>
      <w:pPr>
        <w:spacing w:line="400" w:lineRule="exact"/>
        <w:ind w:firstLine="420" w:firstLineChars="200"/>
        <w:rPr>
          <w:rFonts w:ascii="Times New Roman" w:hAnsi="Times New Roman"/>
          <w:bCs/>
          <w:szCs w:val="21"/>
        </w:rPr>
      </w:pPr>
      <w:r>
        <w:rPr>
          <w:rFonts w:ascii="Times New Roman" w:hAnsi="Times New Roman" w:eastAsia="黑体"/>
          <w:bCs/>
          <w:szCs w:val="21"/>
        </w:rPr>
        <w:t>工业总产值</w:t>
      </w:r>
      <w:r>
        <w:rPr>
          <w:rFonts w:ascii="Times New Roman" w:hAnsi="Times New Roman"/>
          <w:bCs/>
          <w:szCs w:val="21"/>
        </w:rPr>
        <w:t>指工业企业在报告期内生产的以货币形式表现的工业最终产品和提供工业劳务活动的总价值量。</w:t>
      </w:r>
    </w:p>
    <w:p>
      <w:pPr>
        <w:spacing w:line="400" w:lineRule="exact"/>
        <w:ind w:firstLine="420" w:firstLineChars="200"/>
        <w:rPr>
          <w:rFonts w:ascii="Times New Roman" w:hAnsi="Times New Roman"/>
          <w:bCs/>
          <w:szCs w:val="21"/>
        </w:rPr>
      </w:pPr>
      <w:r>
        <w:rPr>
          <w:rFonts w:ascii="Times New Roman" w:hAnsi="Times New Roman" w:eastAsia="黑体"/>
          <w:bCs/>
          <w:szCs w:val="21"/>
        </w:rPr>
        <w:t>营业收入</w:t>
      </w:r>
      <w:r>
        <w:rPr>
          <w:rFonts w:hint="eastAsia"/>
          <w:bCs/>
          <w:szCs w:val="21"/>
        </w:rPr>
        <w:t>指企业经营主要业务和其他业务所确认的收入总额，包括“主营业务收入”和“其他业务收入”。根据会计“利润表”中“营业收入”项目的本期金额数填报。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利润总额</w:t>
      </w:r>
      <w:r>
        <w:rPr>
          <w:rFonts w:ascii="Times New Roman" w:hAnsi="Times New Roman"/>
          <w:bCs/>
          <w:szCs w:val="21"/>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净利润</w:t>
      </w:r>
      <w:r>
        <w:rPr>
          <w:rFonts w:ascii="Times New Roman" w:hAnsi="Times New Roman"/>
          <w:bCs/>
          <w:szCs w:val="21"/>
        </w:rPr>
        <w:t>指企业实现的利润在上交国家所得税后的剩余部分。按会计“损益表”中“净利润”项的本年累计数填列。</w:t>
      </w:r>
    </w:p>
    <w:p>
      <w:pPr>
        <w:spacing w:line="400" w:lineRule="exact"/>
        <w:ind w:firstLine="420" w:firstLineChars="200"/>
        <w:rPr>
          <w:rFonts w:ascii="Times New Roman" w:hAnsi="Times New Roman"/>
          <w:bCs/>
          <w:szCs w:val="21"/>
        </w:rPr>
      </w:pPr>
      <w:r>
        <w:rPr>
          <w:rFonts w:ascii="Times New Roman" w:hAnsi="Times New Roman" w:eastAsia="黑体"/>
          <w:bCs/>
          <w:szCs w:val="21"/>
        </w:rPr>
        <w:t>实际上缴税费总额</w:t>
      </w:r>
      <w:r>
        <w:rPr>
          <w:rFonts w:ascii="Times New Roman" w:hAnsi="Times New Roman"/>
          <w:bCs/>
          <w:szCs w:val="21"/>
        </w:rPr>
        <w:t>指企业在报告期内实际上缴的各项税金、特种基金和附加费等。按当年实际发生额填报。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实际减免税总额</w:t>
      </w:r>
      <w:r>
        <w:rPr>
          <w:rFonts w:ascii="Times New Roman" w:hAnsi="Times New Roman"/>
          <w:bCs/>
          <w:szCs w:val="21"/>
        </w:rPr>
        <w:t>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pPr>
        <w:spacing w:line="400" w:lineRule="exact"/>
        <w:ind w:firstLine="420" w:firstLineChars="200"/>
        <w:rPr>
          <w:rFonts w:ascii="Times New Roman" w:hAnsi="Times New Roman"/>
          <w:bCs/>
          <w:szCs w:val="21"/>
        </w:rPr>
      </w:pPr>
      <w:r>
        <w:rPr>
          <w:rFonts w:ascii="Times New Roman" w:hAnsi="Times New Roman" w:eastAsia="黑体"/>
          <w:bCs/>
          <w:szCs w:val="21"/>
        </w:rPr>
        <w:t>享受高新技术企业所得税减免</w:t>
      </w:r>
      <w:r>
        <w:rPr>
          <w:rFonts w:ascii="Times New Roman" w:hAnsi="Times New Roman"/>
          <w:bCs/>
          <w:szCs w:val="21"/>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pPr>
        <w:spacing w:line="400" w:lineRule="exact"/>
        <w:ind w:firstLine="420" w:firstLineChars="200"/>
        <w:rPr>
          <w:rFonts w:ascii="Times New Roman" w:hAnsi="Times New Roman"/>
          <w:bCs/>
          <w:szCs w:val="21"/>
        </w:rPr>
      </w:pPr>
      <w:r>
        <w:rPr>
          <w:rFonts w:hint="eastAsia" w:ascii="Times New Roman" w:hAnsi="Times New Roman" w:eastAsia="黑体"/>
          <w:bCs/>
          <w:szCs w:val="21"/>
        </w:rPr>
        <w:t>享受先进制造业企业增值税加计抵减额</w:t>
      </w:r>
      <w:r>
        <w:rPr>
          <w:rFonts w:hint="default" w:ascii="Times New Roman" w:hAnsi="Times New Roman" w:eastAsia="宋体"/>
          <w:bCs/>
          <w:szCs w:val="21"/>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 ﹝2023﹞ 267号）及相关政策依法享受的增值税加计抵减额，按填报期当年税务部门实际抵减的税额填报。如本年实际发生的抵减额为零，即填0。</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mODM2OGRmMGUyM2Q2OTEyOGMzNjExYTQ1NjA1NDcifQ=="/>
  </w:docVars>
  <w:rsids>
    <w:rsidRoot w:val="00DF7CB9"/>
    <w:rsid w:val="00A73A9E"/>
    <w:rsid w:val="00C02368"/>
    <w:rsid w:val="00DF7CB9"/>
    <w:rsid w:val="432B7DF5"/>
    <w:rsid w:val="76770E0C"/>
    <w:rsid w:val="7DCF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unhideWhenUsed/>
    <w:qFormat/>
    <w:uiPriority w:val="0"/>
    <w:pPr>
      <w:spacing w:after="120"/>
    </w:pPr>
  </w:style>
  <w:style w:type="character" w:customStyle="1" w:styleId="5">
    <w:name w:val="正文文本 字符"/>
    <w:basedOn w:val="4"/>
    <w:link w:val="2"/>
    <w:qFormat/>
    <w:uiPriority w:val="0"/>
    <w:rPr>
      <w:rFonts w:ascii="Calibri" w:hAnsi="Calibri" w:eastAsia="宋体" w:cs="Times New Roman"/>
    </w:r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332</Words>
  <Characters>1893</Characters>
  <Lines>15</Lines>
  <Paragraphs>4</Paragraphs>
  <TotalTime>158</TotalTime>
  <ScaleCrop>false</ScaleCrop>
  <LinksUpToDate>false</LinksUpToDate>
  <CharactersWithSpaces>2221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2022-12-23T00:32:00Z</dcterms:created>
  <dc:creator>Wangcj</dc:creator>
  <cp:lastModifiedBy>王涛</cp:lastModifiedBy>
  <dcterms:modified xsi:type="dcterms:W3CDTF">2024-01-02T06:03:52Z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64B82139AC074CF884447FF0E21434EE_13</vt:lpwstr>
  </property>
</Properties>
</file>